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7448" w:rsidRPr="00B538C2" w:rsidTr="001924BB">
        <w:tc>
          <w:tcPr>
            <w:tcW w:w="9350" w:type="dxa"/>
            <w:shd w:val="clear" w:color="auto" w:fill="C45911" w:themeFill="accent2" w:themeFillShade="BF"/>
          </w:tcPr>
          <w:p w:rsidR="00707448" w:rsidRPr="0039153B" w:rsidRDefault="00707448" w:rsidP="00B538C2">
            <w:pPr>
              <w:rPr>
                <w:rFonts w:ascii="Cambria" w:hAnsi="Cambria" w:cs="Tahom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9153B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>Is it Research?  Research V</w:t>
            </w:r>
            <w:r w:rsidR="00B538C2" w:rsidRPr="0039153B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>ersus</w:t>
            </w:r>
            <w:r w:rsidRPr="0039153B">
              <w:rPr>
                <w:rFonts w:ascii="Cambria" w:hAnsi="Cambria" w:cs="Tahoma"/>
                <w:color w:val="FFFFFF" w:themeColor="background1"/>
                <w:sz w:val="28"/>
                <w:szCs w:val="28"/>
              </w:rPr>
              <w:t xml:space="preserve"> QA</w:t>
            </w:r>
          </w:p>
        </w:tc>
      </w:tr>
    </w:tbl>
    <w:p w:rsidR="00976CFB" w:rsidRPr="00B538C2" w:rsidRDefault="004E7577" w:rsidP="00707448">
      <w:pPr>
        <w:rPr>
          <w:rFonts w:ascii="Cambria" w:hAnsi="Cambria" w:cs="Tahoma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600"/>
        <w:gridCol w:w="3685"/>
      </w:tblGrid>
      <w:tr w:rsidR="00707448" w:rsidRPr="00B538C2" w:rsidTr="00B538C2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707448" w:rsidRPr="00B538C2" w:rsidRDefault="00B538C2" w:rsidP="00B538C2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It</w:t>
            </w:r>
            <w:r w:rsidR="00707448" w:rsidRPr="00B538C2">
              <w:rPr>
                <w:rFonts w:ascii="Cambria" w:hAnsi="Cambria" w:cs="Tahoma"/>
              </w:rPr>
              <w:t xml:space="preserve"> can be difficult to distinguish between research</w:t>
            </w:r>
            <w:r>
              <w:rPr>
                <w:rFonts w:ascii="Cambria" w:hAnsi="Cambria" w:cs="Tahoma"/>
              </w:rPr>
              <w:t xml:space="preserve"> and quality assurance (QA). </w:t>
            </w:r>
            <w:r w:rsidR="00707448" w:rsidRPr="00B538C2">
              <w:rPr>
                <w:rFonts w:ascii="Cambria" w:hAnsi="Cambria" w:cs="Tahoma"/>
              </w:rPr>
              <w:t xml:space="preserve"> Some projects may even have features of more than one or even all of these activities. While absolute distinction is elusive, each of these activities has a discrete group of characteristics.</w:t>
            </w:r>
          </w:p>
        </w:tc>
      </w:tr>
      <w:tr w:rsidR="00707448" w:rsidRPr="00B538C2" w:rsidTr="001924B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</w:p>
        </w:tc>
        <w:tc>
          <w:tcPr>
            <w:tcW w:w="3600" w:type="dxa"/>
            <w:shd w:val="clear" w:color="auto" w:fill="538135" w:themeFill="accent6" w:themeFillShade="BF"/>
          </w:tcPr>
          <w:p w:rsidR="00707448" w:rsidRPr="0039153B" w:rsidRDefault="00707448" w:rsidP="00707448">
            <w:pPr>
              <w:rPr>
                <w:rFonts w:ascii="Cambria" w:hAnsi="Cambria" w:cs="Tahoma"/>
                <w:color w:val="FFFFFF" w:themeColor="background1"/>
              </w:rPr>
            </w:pPr>
            <w:r w:rsidRPr="0039153B">
              <w:rPr>
                <w:rFonts w:ascii="Cambria" w:hAnsi="Cambria" w:cs="Tahoma"/>
                <w:color w:val="FFFFFF" w:themeColor="background1"/>
              </w:rPr>
              <w:t>RESEARCH</w:t>
            </w:r>
          </w:p>
        </w:tc>
        <w:tc>
          <w:tcPr>
            <w:tcW w:w="3685" w:type="dxa"/>
            <w:shd w:val="clear" w:color="auto" w:fill="2E74B5" w:themeFill="accent1" w:themeFillShade="BF"/>
          </w:tcPr>
          <w:p w:rsidR="00707448" w:rsidRPr="0039153B" w:rsidRDefault="0039153B" w:rsidP="00707448">
            <w:pPr>
              <w:rPr>
                <w:rFonts w:ascii="Cambria" w:hAnsi="Cambria" w:cs="Tahoma"/>
                <w:color w:val="FFFFFF" w:themeColor="background1"/>
              </w:rPr>
            </w:pPr>
            <w:r w:rsidRPr="0039153B">
              <w:rPr>
                <w:rFonts w:ascii="Cambria" w:hAnsi="Cambria" w:cs="Tahoma"/>
                <w:color w:val="FFFFFF" w:themeColor="background1"/>
              </w:rPr>
              <w:t>QUALITY ASSURANCE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Primary Purpose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To generate new knowledge that is generalizable to a wider population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To improve learning or internal processes or curriculum delivery in a particular setting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Locus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Distinct and separate from program delivery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Expected part of program delivery and general departmental operations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Audience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Almost always the external research community and external stakeholders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Primarily internal to the organization or local in nature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Participation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Almost always optional (a waiver of consent may be granted)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07448" w:rsidP="00B05B4F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Frequently not optional; participating in the evaluation of Q</w:t>
            </w:r>
            <w:r w:rsidR="00B05B4F">
              <w:rPr>
                <w:rFonts w:ascii="Cambria" w:hAnsi="Cambria" w:cs="Tahoma"/>
              </w:rPr>
              <w:t>A</w:t>
            </w:r>
            <w:r w:rsidRPr="00B538C2">
              <w:rPr>
                <w:rFonts w:ascii="Cambria" w:hAnsi="Cambria" w:cs="Tahoma"/>
              </w:rPr>
              <w:t xml:space="preserve"> can be optional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Risk/Burden to Participants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07448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Can be significant and therefore rigorous mitigation strategies are required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Possible, but frequently minimal to moderate thus requiring less rigorous mitigation strategies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Design/Methods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Involves a research question that is testing or confirming a hypothesis or theory; often involves “finding out what the right thing is”</w:t>
            </w:r>
          </w:p>
          <w:p w:rsidR="007B3561" w:rsidRPr="00B538C2" w:rsidRDefault="007B3561" w:rsidP="00707448">
            <w:pPr>
              <w:rPr>
                <w:rFonts w:ascii="Cambria" w:hAnsi="Cambria" w:cs="Tahoma"/>
              </w:rPr>
            </w:pPr>
          </w:p>
          <w:p w:rsidR="007B3561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Conducted using a research design that will lead to scientifically valid findings</w:t>
            </w:r>
          </w:p>
          <w:p w:rsidR="007B3561" w:rsidRPr="00B538C2" w:rsidRDefault="007B3561" w:rsidP="00707448">
            <w:pPr>
              <w:rPr>
                <w:rFonts w:ascii="Cambria" w:hAnsi="Cambria" w:cs="Tahoma"/>
              </w:rPr>
            </w:pP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May involve a completely new concept or investigate an area where there is little or no knowledge</w:t>
            </w: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Design is tightly controlled to determine causality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 xml:space="preserve">Involves an improvement aim; often involves implementing or improving adherence to a best practice or  </w:t>
            </w:r>
          </w:p>
          <w:p w:rsidR="00707448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“how to do things right (or better)”</w:t>
            </w: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Uses Q</w:t>
            </w:r>
            <w:r w:rsidR="00B05B4F">
              <w:rPr>
                <w:rFonts w:ascii="Cambria" w:hAnsi="Cambria" w:cs="Tahoma"/>
              </w:rPr>
              <w:t>A</w:t>
            </w:r>
            <w:r w:rsidRPr="00B538C2">
              <w:rPr>
                <w:rFonts w:ascii="Cambria" w:hAnsi="Cambria" w:cs="Tahoma"/>
              </w:rPr>
              <w:t xml:space="preserve"> methods which may be similar to research design, but not sufficient to support scientifically  valid findings</w:t>
            </w: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Does not involve new or untested processes</w:t>
            </w: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</w:p>
          <w:p w:rsidR="007B3561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Flexible design; changes based on real-time feedback (Plan-Do-Study-Act cycles)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Biases/Variables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Controlled or measured as much as possible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Acknowledged as they are part of real world implementation; stabilized from test to test as much as possible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Sharing Results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Part of generating new knowledge involves inviting critical appraisal from peers through presentation and/or publication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B3561" w:rsidP="00B05B4F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The primary goal is to improve local healthcare delivery; sharing learnings externally is secondary but important to assist others with their Q</w:t>
            </w:r>
            <w:r w:rsidR="00B05B4F">
              <w:rPr>
                <w:rFonts w:ascii="Cambria" w:hAnsi="Cambria" w:cs="Tahoma"/>
              </w:rPr>
              <w:t>A</w:t>
            </w:r>
            <w:r w:rsidRPr="00B538C2">
              <w:rPr>
                <w:rFonts w:ascii="Cambria" w:hAnsi="Cambria" w:cs="Tahoma"/>
              </w:rPr>
              <w:t xml:space="preserve"> efforts</w:t>
            </w:r>
          </w:p>
        </w:tc>
      </w:tr>
      <w:tr w:rsidR="00707448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07448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Accountability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7448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Principle investigator with sign off from the appropriate Department Chairs/Deans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07448" w:rsidRPr="00B538C2" w:rsidRDefault="007B3561" w:rsidP="007B3561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Project lead with sign off from the sponsoring Department Managers and/or Director/ VP</w:t>
            </w:r>
          </w:p>
        </w:tc>
      </w:tr>
      <w:tr w:rsidR="007B3561" w:rsidRPr="00B538C2" w:rsidTr="003915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5" w:type="dxa"/>
            <w:shd w:val="clear" w:color="auto" w:fill="F2F2F2" w:themeFill="background1" w:themeFillShade="F2"/>
          </w:tcPr>
          <w:p w:rsidR="007B3561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Ethics Approval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B3561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Research Ethic Board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B3561" w:rsidRPr="00B538C2" w:rsidRDefault="007B3561" w:rsidP="00707448">
            <w:pPr>
              <w:rPr>
                <w:rFonts w:ascii="Cambria" w:hAnsi="Cambria" w:cs="Tahoma"/>
              </w:rPr>
            </w:pPr>
            <w:r w:rsidRPr="00B538C2">
              <w:rPr>
                <w:rFonts w:ascii="Cambria" w:hAnsi="Cambria" w:cs="Tahoma"/>
              </w:rPr>
              <w:t>None</w:t>
            </w:r>
            <w:r w:rsidR="00F17051">
              <w:rPr>
                <w:rFonts w:ascii="Cambria" w:hAnsi="Cambria" w:cs="Tahoma"/>
              </w:rPr>
              <w:t>, but should be conducted ethically</w:t>
            </w:r>
          </w:p>
        </w:tc>
      </w:tr>
    </w:tbl>
    <w:p w:rsidR="00707448" w:rsidRPr="00B538C2" w:rsidRDefault="00707448" w:rsidP="00B538C2">
      <w:pPr>
        <w:rPr>
          <w:rFonts w:ascii="Cambria" w:hAnsi="Cambria" w:cs="Tahoma"/>
        </w:rPr>
      </w:pPr>
    </w:p>
    <w:sectPr w:rsidR="00707448" w:rsidRPr="00B538C2" w:rsidSect="004E7577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8"/>
    <w:rsid w:val="000A17F7"/>
    <w:rsid w:val="001924BB"/>
    <w:rsid w:val="002F2AC9"/>
    <w:rsid w:val="0039153B"/>
    <w:rsid w:val="004E7577"/>
    <w:rsid w:val="005600F5"/>
    <w:rsid w:val="00707448"/>
    <w:rsid w:val="007B3561"/>
    <w:rsid w:val="00B05B4F"/>
    <w:rsid w:val="00B538C2"/>
    <w:rsid w:val="00BD2B86"/>
    <w:rsid w:val="00C66EC2"/>
    <w:rsid w:val="00C86A2F"/>
    <w:rsid w:val="00D60117"/>
    <w:rsid w:val="00F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986CD-C163-4095-ACE9-CAE85074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Picken</dc:creator>
  <cp:keywords/>
  <dc:description/>
  <cp:lastModifiedBy>Lawrence Krysak</cp:lastModifiedBy>
  <cp:revision>5</cp:revision>
  <dcterms:created xsi:type="dcterms:W3CDTF">2016-07-14T17:13:00Z</dcterms:created>
  <dcterms:modified xsi:type="dcterms:W3CDTF">2016-08-09T19:38:00Z</dcterms:modified>
</cp:coreProperties>
</file>